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 xml:space="preserve">Согласно пункту Постановления П. </w:t>
      </w:r>
    </w:p>
    <w:p w:rsidR="00D922D3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>от 23 сентября 2010 г. №731:</w:t>
      </w:r>
    </w:p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>пп. е п. 8</w:t>
      </w:r>
    </w:p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 xml:space="preserve">«Перечень многоквартирных домов, в отношении которых договоры управления расторгнуты в предыдущем календарном году, с указанием адресов этих домов и оснований расторжения договоров управления»  </w:t>
      </w:r>
      <w:r w:rsidRPr="0080498F">
        <w:rPr>
          <w:b/>
          <w:sz w:val="40"/>
          <w:szCs w:val="40"/>
        </w:rPr>
        <w:t>- не ростаргались</w:t>
      </w:r>
    </w:p>
    <w:sectPr w:rsidR="00F33CB0" w:rsidRPr="0080498F" w:rsidSect="00D9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B0"/>
    <w:rsid w:val="004F507E"/>
    <w:rsid w:val="0080498F"/>
    <w:rsid w:val="00D922D3"/>
    <w:rsid w:val="00F3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2015-02-03T06:20:00Z</dcterms:created>
  <dcterms:modified xsi:type="dcterms:W3CDTF">2015-02-16T10:22:00Z</dcterms:modified>
</cp:coreProperties>
</file>